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C05F" w14:textId="77777777" w:rsidR="0086060A" w:rsidRPr="00D44899" w:rsidRDefault="0086060A" w:rsidP="0086060A">
      <w:pPr>
        <w:spacing w:line="240" w:lineRule="auto"/>
        <w:contextualSpacing/>
        <w:jc w:val="center"/>
        <w:rPr>
          <w:rFonts w:ascii="Times New Roman" w:hAnsi="Times New Roman" w:cs="Times New Roman"/>
          <w:b/>
          <w:lang w:val="mk-MK"/>
        </w:rPr>
      </w:pPr>
      <w:r w:rsidRPr="00D44899">
        <w:rPr>
          <w:rFonts w:ascii="Times New Roman" w:hAnsi="Times New Roman" w:cs="Times New Roman"/>
          <w:b/>
          <w:lang w:val="mk-MK"/>
        </w:rPr>
        <w:t>ПРАШАЛНИК</w:t>
      </w:r>
    </w:p>
    <w:p w14:paraId="3AA1D3E1" w14:textId="77777777" w:rsidR="0086060A" w:rsidRPr="00D44899" w:rsidRDefault="0086060A" w:rsidP="0086060A">
      <w:pPr>
        <w:spacing w:line="240" w:lineRule="auto"/>
        <w:contextualSpacing/>
        <w:jc w:val="center"/>
        <w:rPr>
          <w:rFonts w:ascii="Times New Roman" w:hAnsi="Times New Roman" w:cs="Times New Roman"/>
          <w:b/>
          <w:lang w:val="mk-MK"/>
        </w:rPr>
      </w:pPr>
      <w:r w:rsidRPr="00D44899">
        <w:rPr>
          <w:rFonts w:ascii="Times New Roman" w:hAnsi="Times New Roman" w:cs="Times New Roman"/>
          <w:b/>
          <w:lang w:val="mk-MK"/>
        </w:rPr>
        <w:t>за скрининг на пациенти со терминална бубрежна слабост на хемодијализа за ПРИМАРНА ХИПЕРОКСАЛУРИЈА</w:t>
      </w:r>
    </w:p>
    <w:p w14:paraId="6D4A30A2" w14:textId="77777777" w:rsidR="0086060A" w:rsidRPr="00D44899" w:rsidRDefault="0086060A" w:rsidP="0086060A">
      <w:pPr>
        <w:spacing w:line="240" w:lineRule="auto"/>
        <w:jc w:val="center"/>
        <w:rPr>
          <w:rFonts w:ascii="Times New Roman" w:hAnsi="Times New Roman" w:cs="Times New Roman"/>
          <w:b/>
          <w:lang w:val="mk-MK"/>
        </w:rPr>
      </w:pPr>
    </w:p>
    <w:p w14:paraId="5238A525" w14:textId="77777777" w:rsidR="0086060A" w:rsidRPr="00D44899" w:rsidRDefault="0086060A" w:rsidP="0086060A">
      <w:pPr>
        <w:spacing w:line="240" w:lineRule="auto"/>
        <w:ind w:firstLine="360"/>
        <w:jc w:val="both"/>
        <w:rPr>
          <w:rFonts w:ascii="Times New Roman" w:hAnsi="Times New Roman" w:cs="Times New Roman"/>
          <w:lang w:val="mk-MK"/>
        </w:rPr>
      </w:pPr>
      <w:r w:rsidRPr="00D44899">
        <w:rPr>
          <w:rFonts w:ascii="Times New Roman" w:hAnsi="Times New Roman" w:cs="Times New Roman"/>
          <w:lang w:val="mk-MK"/>
        </w:rPr>
        <w:t xml:space="preserve">Примарна хипероксалурија (ПХ) претставува автозомно рецесивно наследно заболување при кое постои прекумерна продукција на оксалати кои при филтрирање низ бубрезите во комбинација со калциумот водат до формирање на мултипни калкули, нефрокалциноза и бубрежна слабост. Ова заболување се должи на мутација на генот за ензимот аланин-глиоксалат аминотрансфераза - AGXT (најчестиот тип 1 на ПХ), </w:t>
      </w:r>
      <w:r w:rsidRPr="00D44899">
        <w:rPr>
          <w:rFonts w:ascii="Times New Roman" w:hAnsi="Times New Roman" w:cs="Times New Roman"/>
          <w:lang w:val="bg-BG"/>
        </w:rPr>
        <w:t xml:space="preserve">односно генот </w:t>
      </w:r>
      <w:r w:rsidRPr="00D44899">
        <w:rPr>
          <w:rFonts w:ascii="Times New Roman" w:hAnsi="Times New Roman" w:cs="Times New Roman"/>
          <w:lang w:val="mk-MK"/>
        </w:rPr>
        <w:t>GRHPR (тип 2 ПХ) и HOGA 1 генот (тип 3 ПХ). Иако ретко, ПХ води до терминалсна бубрежна слабост кај 70% од афетираните индивидуи до возраст од 30 години.</w:t>
      </w:r>
    </w:p>
    <w:p w14:paraId="622464AA" w14:textId="77777777" w:rsidR="0086060A" w:rsidRPr="00D44899" w:rsidRDefault="0086060A" w:rsidP="0086060A">
      <w:pPr>
        <w:pStyle w:val="ListParagraph"/>
        <w:numPr>
          <w:ilvl w:val="0"/>
          <w:numId w:val="1"/>
        </w:numPr>
        <w:spacing w:after="200" w:line="240" w:lineRule="auto"/>
        <w:contextualSpacing w:val="0"/>
        <w:jc w:val="both"/>
        <w:rPr>
          <w:rFonts w:ascii="Times New Roman" w:hAnsi="Times New Roman" w:cs="Times New Roman"/>
          <w:b/>
          <w:lang w:val="mk-MK"/>
        </w:rPr>
      </w:pPr>
      <w:r w:rsidRPr="00D44899">
        <w:rPr>
          <w:rFonts w:ascii="Times New Roman" w:hAnsi="Times New Roman" w:cs="Times New Roman"/>
          <w:b/>
          <w:lang w:val="mk-MK"/>
        </w:rPr>
        <w:t>Дали пациентот има медикална историја за активна нефролитијаза?</w:t>
      </w:r>
    </w:p>
    <w:p w14:paraId="2936C100" w14:textId="77777777" w:rsidR="0086060A" w:rsidRPr="00D44899" w:rsidRDefault="0086060A" w:rsidP="0086060A">
      <w:pPr>
        <w:spacing w:line="240" w:lineRule="auto"/>
        <w:jc w:val="center"/>
        <w:rPr>
          <w:rFonts w:ascii="Times New Roman" w:hAnsi="Times New Roman" w:cs="Times New Roman"/>
          <w:lang w:val="mk-MK"/>
        </w:rPr>
      </w:pPr>
      <w:r w:rsidRPr="00D44899">
        <w:rPr>
          <w:rFonts w:ascii="Times New Roman" w:hAnsi="Times New Roman" w:cs="Times New Roman"/>
          <w:lang w:val="mk-MK"/>
        </w:rPr>
        <w:t xml:space="preserve">(дефинирана како </w:t>
      </w:r>
      <w:r w:rsidRPr="00D44899">
        <w:rPr>
          <w:rFonts w:ascii="Times New Roman" w:hAnsi="Times New Roman" w:cs="Times New Roman"/>
          <w:b/>
          <w:lang w:val="mk-MK"/>
        </w:rPr>
        <w:t>повторувачка</w:t>
      </w:r>
      <w:r w:rsidRPr="00D44899">
        <w:rPr>
          <w:rFonts w:ascii="Times New Roman" w:hAnsi="Times New Roman" w:cs="Times New Roman"/>
          <w:lang w:val="mk-MK"/>
        </w:rPr>
        <w:t xml:space="preserve"> и/или нефролитијаза која </w:t>
      </w:r>
      <w:r w:rsidRPr="00D44899">
        <w:rPr>
          <w:rFonts w:ascii="Times New Roman" w:hAnsi="Times New Roman" w:cs="Times New Roman"/>
          <w:b/>
          <w:lang w:val="mk-MK"/>
        </w:rPr>
        <w:t>се појавила на возраст под 25 години</w:t>
      </w:r>
      <w:r w:rsidRPr="00D44899">
        <w:rPr>
          <w:rFonts w:ascii="Times New Roman" w:hAnsi="Times New Roman" w:cs="Times New Roman"/>
          <w:lang w:val="mk-MK"/>
        </w:rPr>
        <w:t xml:space="preserve"> и/или </w:t>
      </w:r>
      <w:r w:rsidRPr="00D44899">
        <w:rPr>
          <w:rFonts w:ascii="Times New Roman" w:hAnsi="Times New Roman" w:cs="Times New Roman"/>
          <w:b/>
          <w:lang w:val="mk-MK"/>
        </w:rPr>
        <w:t>билатерална нефролитијаза</w:t>
      </w:r>
      <w:r w:rsidRPr="00D44899">
        <w:rPr>
          <w:rFonts w:ascii="Times New Roman" w:hAnsi="Times New Roman" w:cs="Times New Roman"/>
          <w:lang w:val="mk-MK"/>
        </w:rPr>
        <w:t xml:space="preserve"> и/или појава кај најмалку два членови од иста фамилија – </w:t>
      </w:r>
      <w:r w:rsidRPr="00D44899">
        <w:rPr>
          <w:rFonts w:ascii="Times New Roman" w:hAnsi="Times New Roman" w:cs="Times New Roman"/>
          <w:b/>
          <w:lang w:val="mk-MK"/>
        </w:rPr>
        <w:t>фамилијарно групирање</w:t>
      </w:r>
      <w:r w:rsidRPr="00D44899">
        <w:rPr>
          <w:rFonts w:ascii="Times New Roman" w:hAnsi="Times New Roman" w:cs="Times New Roman"/>
          <w:lang w:val="mk-MK"/>
        </w:rPr>
        <w:t>)</w:t>
      </w:r>
    </w:p>
    <w:tbl>
      <w:tblPr>
        <w:tblStyle w:val="TableGrid"/>
        <w:tblW w:w="0" w:type="auto"/>
        <w:jc w:val="center"/>
        <w:tblLook w:val="04A0" w:firstRow="1" w:lastRow="0" w:firstColumn="1" w:lastColumn="0" w:noHBand="0" w:noVBand="1"/>
      </w:tblPr>
      <w:tblGrid>
        <w:gridCol w:w="1278"/>
        <w:gridCol w:w="990"/>
      </w:tblGrid>
      <w:tr w:rsidR="0086060A" w:rsidRPr="00D44899" w14:paraId="04573E55" w14:textId="77777777" w:rsidTr="00F84066">
        <w:trPr>
          <w:jc w:val="center"/>
        </w:trPr>
        <w:tc>
          <w:tcPr>
            <w:tcW w:w="1278" w:type="dxa"/>
          </w:tcPr>
          <w:p w14:paraId="3496DE6A"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ДА</w:t>
            </w:r>
          </w:p>
        </w:tc>
        <w:tc>
          <w:tcPr>
            <w:tcW w:w="990" w:type="dxa"/>
          </w:tcPr>
          <w:p w14:paraId="1ADF51F1"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НЕ</w:t>
            </w:r>
          </w:p>
        </w:tc>
      </w:tr>
    </w:tbl>
    <w:p w14:paraId="21FEE3B3" w14:textId="77777777" w:rsidR="0086060A" w:rsidRPr="00D44899" w:rsidRDefault="0086060A" w:rsidP="0086060A">
      <w:pPr>
        <w:pStyle w:val="ListParagraph"/>
        <w:spacing w:line="240" w:lineRule="auto"/>
        <w:contextualSpacing w:val="0"/>
        <w:jc w:val="both"/>
        <w:rPr>
          <w:rFonts w:ascii="Times New Roman" w:hAnsi="Times New Roman" w:cs="Times New Roman"/>
          <w:b/>
          <w:lang w:val="mk-MK"/>
        </w:rPr>
      </w:pPr>
    </w:p>
    <w:p w14:paraId="4A7212EF" w14:textId="77777777" w:rsidR="0086060A" w:rsidRPr="00D44899" w:rsidRDefault="0086060A" w:rsidP="0086060A">
      <w:pPr>
        <w:pStyle w:val="ListParagraph"/>
        <w:numPr>
          <w:ilvl w:val="0"/>
          <w:numId w:val="1"/>
        </w:numPr>
        <w:spacing w:after="200" w:line="240" w:lineRule="auto"/>
        <w:contextualSpacing w:val="0"/>
        <w:rPr>
          <w:rFonts w:ascii="Times New Roman" w:hAnsi="Times New Roman" w:cs="Times New Roman"/>
          <w:b/>
          <w:lang w:val="mk-MK"/>
        </w:rPr>
      </w:pPr>
      <w:r w:rsidRPr="00D44899">
        <w:rPr>
          <w:rFonts w:ascii="Times New Roman" w:hAnsi="Times New Roman" w:cs="Times New Roman"/>
          <w:b/>
          <w:lang w:val="mk-MK"/>
        </w:rPr>
        <w:t>Позитивна медикална историја за губиток на бубрежен графт</w:t>
      </w:r>
      <w:r w:rsidRPr="00D44899">
        <w:rPr>
          <w:rFonts w:ascii="Times New Roman" w:hAnsi="Times New Roman" w:cs="Times New Roman"/>
          <w:b/>
        </w:rPr>
        <w:t xml:space="preserve"> </w:t>
      </w:r>
      <w:r w:rsidRPr="00D44899">
        <w:rPr>
          <w:rFonts w:ascii="Times New Roman" w:hAnsi="Times New Roman" w:cs="Times New Roman"/>
          <w:b/>
          <w:lang w:val="mk-MK"/>
        </w:rPr>
        <w:t xml:space="preserve">од нејасна причина? </w:t>
      </w:r>
    </w:p>
    <w:tbl>
      <w:tblPr>
        <w:tblStyle w:val="TableGrid"/>
        <w:tblW w:w="0" w:type="auto"/>
        <w:jc w:val="center"/>
        <w:tblLook w:val="04A0" w:firstRow="1" w:lastRow="0" w:firstColumn="1" w:lastColumn="0" w:noHBand="0" w:noVBand="1"/>
      </w:tblPr>
      <w:tblGrid>
        <w:gridCol w:w="1278"/>
        <w:gridCol w:w="990"/>
      </w:tblGrid>
      <w:tr w:rsidR="0086060A" w:rsidRPr="00D44899" w14:paraId="0508911D" w14:textId="77777777" w:rsidTr="00F84066">
        <w:trPr>
          <w:jc w:val="center"/>
        </w:trPr>
        <w:tc>
          <w:tcPr>
            <w:tcW w:w="1278" w:type="dxa"/>
          </w:tcPr>
          <w:p w14:paraId="154D2A8D"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ДА</w:t>
            </w:r>
          </w:p>
        </w:tc>
        <w:tc>
          <w:tcPr>
            <w:tcW w:w="990" w:type="dxa"/>
          </w:tcPr>
          <w:p w14:paraId="4C6620E3"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НЕ</w:t>
            </w:r>
          </w:p>
        </w:tc>
      </w:tr>
    </w:tbl>
    <w:p w14:paraId="34B3C78C" w14:textId="77777777" w:rsidR="0086060A" w:rsidRPr="00D44899" w:rsidRDefault="0086060A" w:rsidP="0086060A">
      <w:pPr>
        <w:spacing w:line="240" w:lineRule="auto"/>
        <w:jc w:val="both"/>
        <w:rPr>
          <w:rFonts w:ascii="Times New Roman" w:hAnsi="Times New Roman" w:cs="Times New Roman"/>
          <w:b/>
          <w:lang w:val="mk-MK"/>
        </w:rPr>
      </w:pPr>
    </w:p>
    <w:p w14:paraId="6FFB20AB" w14:textId="77777777" w:rsidR="0086060A" w:rsidRPr="00D44899" w:rsidRDefault="0086060A" w:rsidP="0086060A">
      <w:pPr>
        <w:pStyle w:val="ListParagraph"/>
        <w:numPr>
          <w:ilvl w:val="0"/>
          <w:numId w:val="1"/>
        </w:numPr>
        <w:spacing w:after="200" w:line="240" w:lineRule="auto"/>
        <w:contextualSpacing w:val="0"/>
        <w:jc w:val="both"/>
        <w:rPr>
          <w:rFonts w:ascii="Times New Roman" w:hAnsi="Times New Roman" w:cs="Times New Roman"/>
          <w:b/>
          <w:lang w:val="mk-MK"/>
        </w:rPr>
      </w:pPr>
      <w:r w:rsidRPr="00D44899">
        <w:rPr>
          <w:rFonts w:ascii="Times New Roman" w:hAnsi="Times New Roman" w:cs="Times New Roman"/>
          <w:b/>
          <w:lang w:val="mk-MK"/>
        </w:rPr>
        <w:t>Ран почеток со хемодијализно лекување  - пред 40 годишна возраст?</w:t>
      </w:r>
    </w:p>
    <w:tbl>
      <w:tblPr>
        <w:tblStyle w:val="TableGrid"/>
        <w:tblW w:w="0" w:type="auto"/>
        <w:jc w:val="center"/>
        <w:tblLook w:val="04A0" w:firstRow="1" w:lastRow="0" w:firstColumn="1" w:lastColumn="0" w:noHBand="0" w:noVBand="1"/>
      </w:tblPr>
      <w:tblGrid>
        <w:gridCol w:w="1278"/>
        <w:gridCol w:w="990"/>
      </w:tblGrid>
      <w:tr w:rsidR="0086060A" w:rsidRPr="00D44899" w14:paraId="6644A49A" w14:textId="77777777" w:rsidTr="00F84066">
        <w:trPr>
          <w:jc w:val="center"/>
        </w:trPr>
        <w:tc>
          <w:tcPr>
            <w:tcW w:w="1278" w:type="dxa"/>
          </w:tcPr>
          <w:p w14:paraId="10214605"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ДА</w:t>
            </w:r>
          </w:p>
        </w:tc>
        <w:tc>
          <w:tcPr>
            <w:tcW w:w="990" w:type="dxa"/>
          </w:tcPr>
          <w:p w14:paraId="6787F811"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НЕ</w:t>
            </w:r>
          </w:p>
        </w:tc>
      </w:tr>
    </w:tbl>
    <w:p w14:paraId="726B8E85" w14:textId="77777777" w:rsidR="0086060A" w:rsidRPr="00D44899" w:rsidRDefault="0086060A" w:rsidP="0086060A">
      <w:pPr>
        <w:pStyle w:val="ListParagraph"/>
        <w:spacing w:line="240" w:lineRule="auto"/>
        <w:contextualSpacing w:val="0"/>
        <w:jc w:val="both"/>
        <w:rPr>
          <w:rFonts w:ascii="Times New Roman" w:hAnsi="Times New Roman" w:cs="Times New Roman"/>
          <w:b/>
          <w:lang w:val="mk-MK"/>
        </w:rPr>
      </w:pPr>
    </w:p>
    <w:p w14:paraId="234777B5" w14:textId="77777777" w:rsidR="0086060A" w:rsidRPr="00D44899" w:rsidRDefault="0086060A" w:rsidP="0086060A">
      <w:pPr>
        <w:pStyle w:val="ListParagraph"/>
        <w:numPr>
          <w:ilvl w:val="0"/>
          <w:numId w:val="1"/>
        </w:numPr>
        <w:spacing w:after="200" w:line="240" w:lineRule="auto"/>
        <w:contextualSpacing w:val="0"/>
        <w:jc w:val="both"/>
        <w:rPr>
          <w:rFonts w:ascii="Times New Roman" w:hAnsi="Times New Roman" w:cs="Times New Roman"/>
          <w:b/>
          <w:lang w:val="mk-MK"/>
        </w:rPr>
      </w:pPr>
      <w:r w:rsidRPr="00D44899">
        <w:rPr>
          <w:rFonts w:ascii="Times New Roman" w:hAnsi="Times New Roman" w:cs="Times New Roman"/>
          <w:b/>
          <w:lang w:val="mk-MK"/>
        </w:rPr>
        <w:t>Фамилијарна историја за ХРОНИЧНА БУБРЕЖНА БОЛЕСТ?</w:t>
      </w:r>
    </w:p>
    <w:tbl>
      <w:tblPr>
        <w:tblStyle w:val="TableGrid"/>
        <w:tblW w:w="0" w:type="auto"/>
        <w:jc w:val="center"/>
        <w:tblLook w:val="04A0" w:firstRow="1" w:lastRow="0" w:firstColumn="1" w:lastColumn="0" w:noHBand="0" w:noVBand="1"/>
      </w:tblPr>
      <w:tblGrid>
        <w:gridCol w:w="1278"/>
        <w:gridCol w:w="990"/>
      </w:tblGrid>
      <w:tr w:rsidR="0086060A" w:rsidRPr="00D44899" w14:paraId="27C02787" w14:textId="77777777" w:rsidTr="00F84066">
        <w:trPr>
          <w:jc w:val="center"/>
        </w:trPr>
        <w:tc>
          <w:tcPr>
            <w:tcW w:w="1278" w:type="dxa"/>
          </w:tcPr>
          <w:p w14:paraId="07C82A1B"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ДА</w:t>
            </w:r>
          </w:p>
        </w:tc>
        <w:tc>
          <w:tcPr>
            <w:tcW w:w="990" w:type="dxa"/>
          </w:tcPr>
          <w:p w14:paraId="25040F00" w14:textId="77777777" w:rsidR="0086060A" w:rsidRPr="00D44899" w:rsidRDefault="0086060A" w:rsidP="00F84066">
            <w:pPr>
              <w:jc w:val="center"/>
              <w:rPr>
                <w:rFonts w:ascii="Times New Roman" w:hAnsi="Times New Roman" w:cs="Times New Roman"/>
                <w:b/>
                <w:sz w:val="24"/>
                <w:szCs w:val="24"/>
                <w:lang w:val="mk-MK"/>
              </w:rPr>
            </w:pPr>
            <w:r w:rsidRPr="00D44899">
              <w:rPr>
                <w:rFonts w:ascii="Times New Roman" w:hAnsi="Times New Roman" w:cs="Times New Roman"/>
                <w:b/>
                <w:sz w:val="24"/>
                <w:szCs w:val="24"/>
                <w:lang w:val="mk-MK"/>
              </w:rPr>
              <w:t>НЕ</w:t>
            </w:r>
          </w:p>
        </w:tc>
      </w:tr>
    </w:tbl>
    <w:p w14:paraId="11B9262F" w14:textId="77777777" w:rsidR="0086060A" w:rsidRPr="00D44899" w:rsidRDefault="0086060A" w:rsidP="0086060A">
      <w:pPr>
        <w:spacing w:line="240" w:lineRule="auto"/>
        <w:jc w:val="both"/>
        <w:rPr>
          <w:rFonts w:ascii="Times New Roman" w:hAnsi="Times New Roman" w:cs="Times New Roman"/>
          <w:b/>
          <w:lang w:val="mk-MK"/>
        </w:rPr>
      </w:pPr>
      <w:r w:rsidRPr="00D44899">
        <w:rPr>
          <w:rFonts w:ascii="Times New Roman" w:hAnsi="Times New Roman" w:cs="Times New Roman"/>
          <w:b/>
          <w:lang w:val="mk-MK"/>
        </w:rPr>
        <w:tab/>
      </w:r>
    </w:p>
    <w:p w14:paraId="06FA9F23" w14:textId="77777777" w:rsidR="0086060A" w:rsidRPr="00D44899" w:rsidRDefault="0086060A" w:rsidP="0086060A">
      <w:pPr>
        <w:spacing w:line="240" w:lineRule="auto"/>
        <w:jc w:val="both"/>
        <w:rPr>
          <w:rFonts w:ascii="Times New Roman" w:hAnsi="Times New Roman" w:cs="Times New Roman"/>
          <w:lang w:val="mk-MK"/>
        </w:rPr>
      </w:pPr>
      <w:r w:rsidRPr="00D44899">
        <w:rPr>
          <w:rFonts w:ascii="Times New Roman" w:hAnsi="Times New Roman" w:cs="Times New Roman"/>
          <w:b/>
          <w:lang w:val="mk-MK"/>
        </w:rPr>
        <w:t>Толкување:</w:t>
      </w:r>
      <w:r w:rsidRPr="00D44899">
        <w:rPr>
          <w:rFonts w:ascii="Times New Roman" w:hAnsi="Times New Roman" w:cs="Times New Roman"/>
          <w:lang w:val="mk-MK"/>
        </w:rPr>
        <w:t xml:space="preserve"> присуството на најмалку 1 поен на наведената скала се оценува како „висок ризик“ за примарна хипероксалурија и наложува дополнителни иследувања. Специфичноста на овој т.н. PH score се зголемува при 1+, 2+ и 3+ позитивни одговори и изнедува 67%, 87% и 100%, соодветно. </w:t>
      </w:r>
    </w:p>
    <w:p w14:paraId="57B7AED2" w14:textId="77777777" w:rsidR="0086060A" w:rsidRPr="00D44899" w:rsidRDefault="0086060A" w:rsidP="0086060A">
      <w:pPr>
        <w:spacing w:line="240" w:lineRule="auto"/>
        <w:jc w:val="both"/>
        <w:rPr>
          <w:rFonts w:ascii="Times New Roman" w:hAnsi="Times New Roman" w:cs="Times New Roman"/>
        </w:rPr>
      </w:pPr>
      <w:r w:rsidRPr="00D44899">
        <w:rPr>
          <w:rFonts w:ascii="Times New Roman" w:hAnsi="Times New Roman" w:cs="Times New Roman"/>
          <w:lang w:val="mk-MK"/>
        </w:rPr>
        <w:t>Според:</w:t>
      </w:r>
      <w:r w:rsidRPr="00D44899">
        <w:rPr>
          <w:rFonts w:ascii="Times New Roman" w:hAnsi="Times New Roman" w:cs="Times New Roman"/>
        </w:rPr>
        <w:t xml:space="preserve"> </w:t>
      </w:r>
      <w:proofErr w:type="spellStart"/>
      <w:r w:rsidRPr="00D44899">
        <w:rPr>
          <w:rFonts w:ascii="Times New Roman" w:hAnsi="Times New Roman" w:cs="Times New Roman"/>
        </w:rPr>
        <w:t>Menuel</w:t>
      </w:r>
      <w:proofErr w:type="spellEnd"/>
      <w:r w:rsidRPr="00D44899">
        <w:rPr>
          <w:rFonts w:ascii="Times New Roman" w:hAnsi="Times New Roman" w:cs="Times New Roman"/>
        </w:rPr>
        <w:t xml:space="preserve"> Ferraro P.et al. A clinical screening algorithm for primary hyperoxaluria type 1 in adults on dialysis. Nephrol Dial Transplant. 39(2):367-370. </w:t>
      </w:r>
    </w:p>
    <w:p w14:paraId="3CBA9577" w14:textId="77777777" w:rsidR="0086060A" w:rsidRPr="00D44899" w:rsidRDefault="0086060A" w:rsidP="0086060A">
      <w:pPr>
        <w:spacing w:line="240" w:lineRule="auto"/>
        <w:jc w:val="both"/>
        <w:rPr>
          <w:rFonts w:ascii="Times New Roman" w:hAnsi="Times New Roman" w:cs="Times New Roman"/>
          <w:b/>
          <w:bCs/>
        </w:rPr>
      </w:pPr>
    </w:p>
    <w:p w14:paraId="57B819C6" w14:textId="77777777" w:rsidR="0012470D" w:rsidRDefault="0012470D"/>
    <w:p w14:paraId="5BB54065" w14:textId="77777777" w:rsidR="0086060A" w:rsidRDefault="0086060A"/>
    <w:p w14:paraId="235A4B7D" w14:textId="77777777" w:rsidR="0086060A" w:rsidRDefault="0086060A" w:rsidP="0086060A">
      <w:pPr>
        <w:spacing w:line="240" w:lineRule="auto"/>
        <w:jc w:val="center"/>
        <w:rPr>
          <w:b/>
          <w:bCs/>
        </w:rPr>
      </w:pPr>
      <w:r w:rsidRPr="0086060A">
        <w:rPr>
          <w:b/>
          <w:bCs/>
        </w:rPr>
        <w:lastRenderedPageBreak/>
        <w:t>QUESTIONNAIRE</w:t>
      </w:r>
      <w:r w:rsidRPr="0086060A">
        <w:rPr>
          <w:b/>
          <w:bCs/>
        </w:rPr>
        <w:br/>
        <w:t xml:space="preserve">for screening patients with end-stage renal disease on hemodialysis for </w:t>
      </w:r>
    </w:p>
    <w:p w14:paraId="30ACD7C4" w14:textId="161AF5F4" w:rsidR="0086060A" w:rsidRDefault="0086060A" w:rsidP="0086060A">
      <w:pPr>
        <w:spacing w:line="240" w:lineRule="auto"/>
        <w:jc w:val="center"/>
        <w:rPr>
          <w:b/>
          <w:bCs/>
        </w:rPr>
      </w:pPr>
      <w:r w:rsidRPr="0086060A">
        <w:rPr>
          <w:b/>
          <w:bCs/>
        </w:rPr>
        <w:t>PRIMARY HYPEROXALURIA</w:t>
      </w:r>
    </w:p>
    <w:p w14:paraId="017F2024" w14:textId="77777777" w:rsidR="0086060A" w:rsidRDefault="0086060A" w:rsidP="0086060A">
      <w:pPr>
        <w:jc w:val="center"/>
        <w:rPr>
          <w:b/>
          <w:bCs/>
        </w:rPr>
      </w:pPr>
    </w:p>
    <w:p w14:paraId="04FD508F" w14:textId="43605113" w:rsidR="0086060A" w:rsidRPr="0086060A" w:rsidRDefault="0086060A" w:rsidP="0086060A">
      <w:pPr>
        <w:jc w:val="both"/>
      </w:pPr>
      <w:r w:rsidRPr="0086060A">
        <w:t>Primary hyperoxaluria (PH) is an autosomal recessive inherited disorder characterized by excessive production of oxalate. During renal filtration, oxalate combines with calcium, leading to the formation of multiple calculi, nephrocalcinosis, and progressive renal failure.</w:t>
      </w:r>
      <w:r>
        <w:t xml:space="preserve"> </w:t>
      </w:r>
      <w:r w:rsidRPr="0086060A">
        <w:t>This condition results from mutations in the gene encoding the enzyme alanine–glyoxylate aminotransferase (AGXT) — the most common form, PH type 1 — as well as mutations in the GRHPR gene (PH type 2) and the HOGA1 gene (PH type 3).</w:t>
      </w:r>
      <w:r>
        <w:t xml:space="preserve"> </w:t>
      </w:r>
      <w:r w:rsidRPr="0086060A">
        <w:t>Although rare, PH leads to end-stage renal disease in approximately 70% of affected individuals by the age of 30.</w:t>
      </w:r>
    </w:p>
    <w:p w14:paraId="0CD30E3E" w14:textId="77777777" w:rsidR="0086060A" w:rsidRPr="0086060A" w:rsidRDefault="0086060A" w:rsidP="0086060A">
      <w:pPr>
        <w:jc w:val="center"/>
        <w:rPr>
          <w:b/>
          <w:bCs/>
        </w:rPr>
      </w:pPr>
      <w:r w:rsidRPr="0086060A">
        <w:rPr>
          <w:b/>
          <w:bCs/>
        </w:rPr>
        <w:t>1. Does the patient have a medical history of active nephrolithiasis?</w:t>
      </w:r>
      <w:r w:rsidRPr="0086060A">
        <w:rPr>
          <w:b/>
          <w:bCs/>
        </w:rPr>
        <w:br/>
      </w:r>
      <w:r w:rsidRPr="0086060A">
        <w:rPr>
          <w:b/>
          <w:bCs/>
          <w:i/>
          <w:iCs/>
        </w:rPr>
        <w:t>(defined as recurrent nephrolithiasis and/or nephrolithiasis occurring before the age of 25 years and/or bilateral nephrolithiasis and/or occurrence in at least two members of the same family – familial clustering)</w:t>
      </w:r>
      <w:r w:rsidRPr="0086060A">
        <w:rPr>
          <w:b/>
          <w:bCs/>
        </w:rPr>
        <w:br/>
        <w:t>YES</w:t>
      </w:r>
      <w:r w:rsidRPr="0086060A">
        <w:rPr>
          <w:b/>
          <w:bCs/>
        </w:rPr>
        <w:t> </w:t>
      </w:r>
      <w:r w:rsidRPr="0086060A">
        <w:rPr>
          <w:b/>
          <w:bCs/>
        </w:rPr>
        <w:t> </w:t>
      </w:r>
      <w:r w:rsidRPr="0086060A">
        <w:rPr>
          <w:b/>
          <w:bCs/>
        </w:rPr>
        <w:t>NO</w:t>
      </w:r>
    </w:p>
    <w:p w14:paraId="17D61F17" w14:textId="77777777" w:rsidR="0086060A" w:rsidRPr="0086060A" w:rsidRDefault="0086060A" w:rsidP="0086060A">
      <w:pPr>
        <w:jc w:val="center"/>
        <w:rPr>
          <w:b/>
          <w:bCs/>
        </w:rPr>
      </w:pPr>
      <w:r w:rsidRPr="0086060A">
        <w:rPr>
          <w:b/>
          <w:bCs/>
        </w:rPr>
        <w:t>2. Is there a positive medical history of renal graft loss of unknown etiology?</w:t>
      </w:r>
      <w:r w:rsidRPr="0086060A">
        <w:rPr>
          <w:b/>
          <w:bCs/>
        </w:rPr>
        <w:br/>
        <w:t>YES</w:t>
      </w:r>
      <w:r w:rsidRPr="0086060A">
        <w:rPr>
          <w:b/>
          <w:bCs/>
        </w:rPr>
        <w:t> </w:t>
      </w:r>
      <w:r w:rsidRPr="0086060A">
        <w:rPr>
          <w:b/>
          <w:bCs/>
        </w:rPr>
        <w:t> </w:t>
      </w:r>
      <w:r w:rsidRPr="0086060A">
        <w:rPr>
          <w:b/>
          <w:bCs/>
        </w:rPr>
        <w:t>NO</w:t>
      </w:r>
    </w:p>
    <w:p w14:paraId="0C738289" w14:textId="77777777" w:rsidR="0086060A" w:rsidRPr="0086060A" w:rsidRDefault="0086060A" w:rsidP="0086060A">
      <w:pPr>
        <w:jc w:val="center"/>
        <w:rPr>
          <w:b/>
          <w:bCs/>
        </w:rPr>
      </w:pPr>
      <w:r w:rsidRPr="0086060A">
        <w:rPr>
          <w:b/>
          <w:bCs/>
        </w:rPr>
        <w:t>3. Early initiation of hemodialysis treatment – before 40 years of age?</w:t>
      </w:r>
      <w:r w:rsidRPr="0086060A">
        <w:rPr>
          <w:b/>
          <w:bCs/>
        </w:rPr>
        <w:br/>
        <w:t>YES</w:t>
      </w:r>
      <w:r w:rsidRPr="0086060A">
        <w:rPr>
          <w:b/>
          <w:bCs/>
        </w:rPr>
        <w:t> </w:t>
      </w:r>
      <w:r w:rsidRPr="0086060A">
        <w:rPr>
          <w:b/>
          <w:bCs/>
        </w:rPr>
        <w:t> </w:t>
      </w:r>
      <w:r w:rsidRPr="0086060A">
        <w:rPr>
          <w:b/>
          <w:bCs/>
        </w:rPr>
        <w:t>NO</w:t>
      </w:r>
    </w:p>
    <w:p w14:paraId="466378B1" w14:textId="77777777" w:rsidR="0086060A" w:rsidRPr="0086060A" w:rsidRDefault="0086060A" w:rsidP="0086060A">
      <w:pPr>
        <w:jc w:val="center"/>
        <w:rPr>
          <w:b/>
          <w:bCs/>
        </w:rPr>
      </w:pPr>
      <w:r w:rsidRPr="0086060A">
        <w:rPr>
          <w:b/>
          <w:bCs/>
        </w:rPr>
        <w:t>4. Family history of CHRONIC KIDNEY DISEASE?</w:t>
      </w:r>
      <w:r w:rsidRPr="0086060A">
        <w:rPr>
          <w:b/>
          <w:bCs/>
        </w:rPr>
        <w:br/>
        <w:t>YES</w:t>
      </w:r>
      <w:r w:rsidRPr="0086060A">
        <w:rPr>
          <w:b/>
          <w:bCs/>
        </w:rPr>
        <w:t> </w:t>
      </w:r>
      <w:r w:rsidRPr="0086060A">
        <w:rPr>
          <w:b/>
          <w:bCs/>
        </w:rPr>
        <w:t> </w:t>
      </w:r>
      <w:r w:rsidRPr="0086060A">
        <w:rPr>
          <w:b/>
          <w:bCs/>
        </w:rPr>
        <w:t>NO</w:t>
      </w:r>
    </w:p>
    <w:p w14:paraId="7119FD9B" w14:textId="77777777" w:rsidR="0086060A" w:rsidRPr="0086060A" w:rsidRDefault="0086060A" w:rsidP="0086060A">
      <w:pPr>
        <w:jc w:val="center"/>
        <w:rPr>
          <w:b/>
          <w:bCs/>
          <w:vanish/>
        </w:rPr>
      </w:pPr>
      <w:r w:rsidRPr="0086060A">
        <w:rPr>
          <w:b/>
          <w:bCs/>
          <w:vanish/>
        </w:rPr>
        <w:t>Top of Form</w:t>
      </w:r>
    </w:p>
    <w:p w14:paraId="0D232550" w14:textId="77777777" w:rsidR="0086060A" w:rsidRPr="0086060A" w:rsidRDefault="0086060A" w:rsidP="0086060A">
      <w:pPr>
        <w:jc w:val="center"/>
        <w:rPr>
          <w:b/>
          <w:bCs/>
        </w:rPr>
      </w:pPr>
    </w:p>
    <w:p w14:paraId="3B4669F2" w14:textId="77777777" w:rsidR="0086060A" w:rsidRPr="0086060A" w:rsidRDefault="0086060A" w:rsidP="0086060A">
      <w:pPr>
        <w:jc w:val="both"/>
      </w:pPr>
      <w:r w:rsidRPr="0086060A">
        <w:t>Interpretation:</w:t>
      </w:r>
      <w:r w:rsidRPr="0086060A">
        <w:br/>
        <w:t>The presence of at least one point on the above scale is considered indicative of “high risk” for primary hyperoxaluria and warrants further diagnostic evaluation.</w:t>
      </w:r>
    </w:p>
    <w:p w14:paraId="175B30D9" w14:textId="77777777" w:rsidR="0086060A" w:rsidRPr="0086060A" w:rsidRDefault="0086060A" w:rsidP="0086060A">
      <w:pPr>
        <w:jc w:val="both"/>
      </w:pPr>
      <w:r w:rsidRPr="0086060A">
        <w:t xml:space="preserve">The specificity of this so-called </w:t>
      </w:r>
      <w:r w:rsidRPr="0086060A">
        <w:rPr>
          <w:i/>
          <w:iCs/>
        </w:rPr>
        <w:t>PH score</w:t>
      </w:r>
      <w:r w:rsidRPr="0086060A">
        <w:t xml:space="preserve"> increases with the number of positive responses (1+, 2+, and 3+), reaching 67%, 87%, and 100%, respectively.</w:t>
      </w:r>
    </w:p>
    <w:p w14:paraId="206DB6B2" w14:textId="77777777" w:rsidR="0086060A" w:rsidRPr="0086060A" w:rsidRDefault="0086060A" w:rsidP="0086060A">
      <w:r w:rsidRPr="0086060A">
        <w:t xml:space="preserve">According to: </w:t>
      </w:r>
      <w:proofErr w:type="spellStart"/>
      <w:r w:rsidRPr="0086060A">
        <w:t>Menuel</w:t>
      </w:r>
      <w:proofErr w:type="spellEnd"/>
      <w:r w:rsidRPr="0086060A">
        <w:t xml:space="preserve"> Ferraro P. et al. </w:t>
      </w:r>
      <w:r w:rsidRPr="0086060A">
        <w:rPr>
          <w:i/>
          <w:iCs/>
        </w:rPr>
        <w:t>A clinical screening algorithm for primary hyperoxaluria type 1 in adults on dialysis.</w:t>
      </w:r>
      <w:r w:rsidRPr="0086060A">
        <w:t xml:space="preserve"> </w:t>
      </w:r>
      <w:r w:rsidRPr="0086060A">
        <w:rPr>
          <w:i/>
          <w:iCs/>
        </w:rPr>
        <w:t>Nephrology Dialysis Transplantation.</w:t>
      </w:r>
      <w:r w:rsidRPr="0086060A">
        <w:t xml:space="preserve"> 39(2):367–370.</w:t>
      </w:r>
    </w:p>
    <w:p w14:paraId="185B273C" w14:textId="77777777" w:rsidR="0086060A" w:rsidRPr="0086060A" w:rsidRDefault="0086060A" w:rsidP="0086060A">
      <w:pPr>
        <w:jc w:val="center"/>
        <w:rPr>
          <w:b/>
          <w:bCs/>
          <w:vanish/>
        </w:rPr>
      </w:pPr>
      <w:r w:rsidRPr="0086060A">
        <w:rPr>
          <w:b/>
          <w:bCs/>
          <w:vanish/>
        </w:rPr>
        <w:t>Bottom of Form</w:t>
      </w:r>
    </w:p>
    <w:p w14:paraId="27FF0376" w14:textId="77777777" w:rsidR="0086060A" w:rsidRPr="0086060A" w:rsidRDefault="0086060A" w:rsidP="0086060A">
      <w:pPr>
        <w:jc w:val="center"/>
        <w:rPr>
          <w:b/>
          <w:bCs/>
        </w:rPr>
      </w:pPr>
    </w:p>
    <w:sectPr w:rsidR="0086060A" w:rsidRPr="00860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762CD"/>
    <w:multiLevelType w:val="hybridMultilevel"/>
    <w:tmpl w:val="4438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86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0A"/>
    <w:rsid w:val="0012470D"/>
    <w:rsid w:val="001D59F8"/>
    <w:rsid w:val="006576CC"/>
    <w:rsid w:val="0086060A"/>
    <w:rsid w:val="00F6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B4AA5"/>
  <w15:chartTrackingRefBased/>
  <w15:docId w15:val="{D54713F4-3D03-4652-AF7E-2DC338D8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0A"/>
  </w:style>
  <w:style w:type="paragraph" w:styleId="Heading1">
    <w:name w:val="heading 1"/>
    <w:basedOn w:val="Normal"/>
    <w:next w:val="Normal"/>
    <w:link w:val="Heading1Char"/>
    <w:uiPriority w:val="9"/>
    <w:qFormat/>
    <w:rsid w:val="008606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06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06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06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06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06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6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6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6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6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06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06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06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06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0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60A"/>
    <w:rPr>
      <w:rFonts w:eastAsiaTheme="majorEastAsia" w:cstheme="majorBidi"/>
      <w:color w:val="272727" w:themeColor="text1" w:themeTint="D8"/>
    </w:rPr>
  </w:style>
  <w:style w:type="paragraph" w:styleId="Title">
    <w:name w:val="Title"/>
    <w:basedOn w:val="Normal"/>
    <w:next w:val="Normal"/>
    <w:link w:val="TitleChar"/>
    <w:uiPriority w:val="10"/>
    <w:qFormat/>
    <w:rsid w:val="00860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60A"/>
    <w:pPr>
      <w:spacing w:before="160"/>
      <w:jc w:val="center"/>
    </w:pPr>
    <w:rPr>
      <w:i/>
      <w:iCs/>
      <w:color w:val="404040" w:themeColor="text1" w:themeTint="BF"/>
    </w:rPr>
  </w:style>
  <w:style w:type="character" w:customStyle="1" w:styleId="QuoteChar">
    <w:name w:val="Quote Char"/>
    <w:basedOn w:val="DefaultParagraphFont"/>
    <w:link w:val="Quote"/>
    <w:uiPriority w:val="29"/>
    <w:rsid w:val="0086060A"/>
    <w:rPr>
      <w:i/>
      <w:iCs/>
      <w:color w:val="404040" w:themeColor="text1" w:themeTint="BF"/>
    </w:rPr>
  </w:style>
  <w:style w:type="paragraph" w:styleId="ListParagraph">
    <w:name w:val="List Paragraph"/>
    <w:basedOn w:val="Normal"/>
    <w:uiPriority w:val="34"/>
    <w:qFormat/>
    <w:rsid w:val="0086060A"/>
    <w:pPr>
      <w:ind w:left="720"/>
      <w:contextualSpacing/>
    </w:pPr>
  </w:style>
  <w:style w:type="character" w:styleId="IntenseEmphasis">
    <w:name w:val="Intense Emphasis"/>
    <w:basedOn w:val="DefaultParagraphFont"/>
    <w:uiPriority w:val="21"/>
    <w:qFormat/>
    <w:rsid w:val="0086060A"/>
    <w:rPr>
      <w:i/>
      <w:iCs/>
      <w:color w:val="2F5496" w:themeColor="accent1" w:themeShade="BF"/>
    </w:rPr>
  </w:style>
  <w:style w:type="paragraph" w:styleId="IntenseQuote">
    <w:name w:val="Intense Quote"/>
    <w:basedOn w:val="Normal"/>
    <w:next w:val="Normal"/>
    <w:link w:val="IntenseQuoteChar"/>
    <w:uiPriority w:val="30"/>
    <w:qFormat/>
    <w:rsid w:val="008606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60A"/>
    <w:rPr>
      <w:i/>
      <w:iCs/>
      <w:color w:val="2F5496" w:themeColor="accent1" w:themeShade="BF"/>
    </w:rPr>
  </w:style>
  <w:style w:type="character" w:styleId="IntenseReference">
    <w:name w:val="Intense Reference"/>
    <w:basedOn w:val="DefaultParagraphFont"/>
    <w:uiPriority w:val="32"/>
    <w:qFormat/>
    <w:rsid w:val="0086060A"/>
    <w:rPr>
      <w:b/>
      <w:bCs/>
      <w:smallCaps/>
      <w:color w:val="2F5496" w:themeColor="accent1" w:themeShade="BF"/>
      <w:spacing w:val="5"/>
    </w:rPr>
  </w:style>
  <w:style w:type="table" w:styleId="TableGrid">
    <w:name w:val="Table Grid"/>
    <w:basedOn w:val="TableNormal"/>
    <w:uiPriority w:val="59"/>
    <w:rsid w:val="0086060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vlatko karanfilovski</dc:creator>
  <cp:keywords/>
  <dc:description/>
  <cp:lastModifiedBy>vlatko karanfilovski</cp:lastModifiedBy>
  <cp:revision>1</cp:revision>
  <dcterms:created xsi:type="dcterms:W3CDTF">2026-04-20T15:30:00Z</dcterms:created>
  <dcterms:modified xsi:type="dcterms:W3CDTF">2026-04-20T15:37:00Z</dcterms:modified>
</cp:coreProperties>
</file>